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41B92865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0B8ADAE4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48CB7988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1AEF23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2021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4052DC2F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профилактики рисков причинения вреда (ущерба) охраняемым законом ценностям по муниципальному </w:t>
      </w:r>
      <w:r w:rsidR="001E1C25" w:rsidRPr="00EE418A">
        <w:rPr>
          <w:rFonts w:ascii="Times New Roman" w:eastAsia="Calibri" w:hAnsi="Times New Roman" w:cs="Times New Roman"/>
          <w:b/>
          <w:szCs w:val="22"/>
        </w:rPr>
        <w:t xml:space="preserve">жилищному </w:t>
      </w:r>
      <w:r w:rsidRPr="00EE418A">
        <w:rPr>
          <w:rFonts w:ascii="Times New Roman" w:eastAsia="Calibri" w:hAnsi="Times New Roman" w:cs="Times New Roman"/>
          <w:b/>
          <w:szCs w:val="22"/>
        </w:rPr>
        <w:t>контролю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AA8C215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>» на 2022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62FCD387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E418A">
        <w:rPr>
          <w:rFonts w:ascii="Times New Roman" w:eastAsia="Calibri" w:hAnsi="Times New Roman" w:cs="Times New Roman"/>
          <w:szCs w:val="22"/>
        </w:rPr>
        <w:t xml:space="preserve"> 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городское поселение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 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жилищный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  <w:proofErr w:type="gramEnd"/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2022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456E4CBB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тексты нормативных правовых актов, регулирующих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0FF310E4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C02B38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Програм</w:t>
            </w:r>
            <w:bookmarkStart w:id="1" w:name="_GoBack"/>
            <w:bookmarkEnd w:id="1"/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мы профилактики на 2023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2022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A184DC9" w14:textId="6BD749A9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</w:t>
            </w:r>
            <w:proofErr w:type="gramStart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069D9B20" w:rsidR="00E62ACE" w:rsidRPr="00DB5E50" w:rsidRDefault="00E62ACE" w:rsidP="00C57B17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FEC55A0"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2022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38F155C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части компетенции</w:t>
            </w:r>
          </w:p>
        </w:tc>
        <w:tc>
          <w:tcPr>
            <w:tcW w:w="2268" w:type="dxa"/>
          </w:tcPr>
          <w:p w14:paraId="734F261D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4E4C68F0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2022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B56A8FC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2022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0476371C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gramStart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за</w:t>
            </w:r>
            <w:proofErr w:type="gramEnd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ГП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2022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2022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3C895BD9" w:rsidR="00E62ACE" w:rsidRPr="00EE418A" w:rsidRDefault="00A15A0A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Присечкин Анатолий Алексеевич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01C023D9" w:rsidR="00EE418A" w:rsidRPr="00EE418A" w:rsidRDefault="00C57B17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Рыбкина Елена Васильевна</w:t>
            </w:r>
          </w:p>
        </w:tc>
        <w:tc>
          <w:tcPr>
            <w:tcW w:w="2268" w:type="dxa"/>
            <w:vAlign w:val="center"/>
          </w:tcPr>
          <w:p w14:paraId="05CB8479" w14:textId="7B96618B" w:rsidR="00EE418A" w:rsidRPr="00EE418A" w:rsidRDefault="00C57B17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Главный специалист муниципального хозяйства, энергетике, средств массовых коммуникаций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647FD1"/>
    <w:rsid w:val="006E18DA"/>
    <w:rsid w:val="006F21F0"/>
    <w:rsid w:val="00725CCB"/>
    <w:rsid w:val="00827AEE"/>
    <w:rsid w:val="00863E7A"/>
    <w:rsid w:val="008913D8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Рыбкина</cp:lastModifiedBy>
  <cp:revision>3</cp:revision>
  <cp:lastPrinted>2021-10-20T09:08:00Z</cp:lastPrinted>
  <dcterms:created xsi:type="dcterms:W3CDTF">2021-10-20T12:35:00Z</dcterms:created>
  <dcterms:modified xsi:type="dcterms:W3CDTF">2021-10-20T13:35:00Z</dcterms:modified>
</cp:coreProperties>
</file>